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A effectué la visite sur site pour le marché </w:t>
      </w:r>
      <w:r>
        <w:rPr>
          <w:sz w:val="28"/>
          <w:szCs w:val="28"/>
        </w:rPr>
        <w:t xml:space="preserve">25-111 relatif aux prestations de </w:t>
      </w:r>
      <w:r>
        <w:rPr>
          <w:rFonts w:eastAsia="Calibri" w:cs="Arial" w:cstheme="minorBidi" w:eastAsiaTheme="minorHAnsi"/>
          <w:color w:val="auto"/>
          <w:sz w:val="28"/>
          <w:szCs w:val="28"/>
          <w:lang w:val="fr-FR" w:eastAsia="en-US" w:bidi="ar-SA"/>
        </w:rPr>
        <w:t>Mise à disposition de contenants, enlèvement et traitement des déchets de la Direction territoriale Hauts de France du Cerema.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           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  <w:tab/>
        <w:tab/>
        <w:tab/>
        <w:tab/>
        <w:tab/>
        <w:t>Signature représentant du CEREMA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 w:default="1">
    <w:name w:val="Pas de liste"/>
    <w:uiPriority w:val="99"/>
    <w:semiHidden/>
    <w:unhideWhenUsed/>
    <w:qFormat/>
  </w:style>
  <w:style w:type="table" w:styleId="48">
    <w:name w:val="Table Grid"/>
    <w:basedOn w:val="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53">
    <w:name w:val="Lined - Accent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771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LibreOffice/25.2.4.3$Windows_X86_64 LibreOffice_project/33e196637044ead23f5c3226cde09b47731f7e27</Application>
  <AppVersion>15.0000</AppVersion>
  <Pages>1</Pages>
  <Words>54</Words>
  <Characters>287</Characters>
  <CharactersWithSpaces>350</CharactersWithSpaces>
  <Paragraphs>6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>Valérie MAMET</cp:lastModifiedBy>
  <dcterms:modified xsi:type="dcterms:W3CDTF">2025-07-09T13:30:27Z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